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2FD" w:rsidRDefault="00BF307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pt;margin-top:2.25pt;width:528pt;height:28.5pt;z-index:251660288" fillcolor="#ffc000" strokecolor="#92d050" strokeweight="1.5pt">
            <v:fill color2="white [3212]" rotate="t" focusposition=".5,.5" focussize="" type="gradientRadial"/>
            <v:textbox>
              <w:txbxContent>
                <w:p w:rsidR="00594694" w:rsidRPr="00594694" w:rsidRDefault="00594694" w:rsidP="00594694">
                  <w:pPr>
                    <w:jc w:val="center"/>
                    <w:rPr>
                      <w:b/>
                      <w:color w:val="92D050"/>
                      <w:sz w:val="32"/>
                      <w:szCs w:val="32"/>
                    </w:rPr>
                  </w:pPr>
                  <w:r w:rsidRPr="00594694">
                    <w:rPr>
                      <w:b/>
                      <w:color w:val="92D050"/>
                      <w:sz w:val="32"/>
                      <w:szCs w:val="32"/>
                    </w:rPr>
                    <w:t>COMO LEER SU FACTURA DE AGUA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41.25pt;margin-top:-29.25pt;width:859.5pt;height:31.5pt;z-index:251659264" strokecolor="white [3212]">
            <v:textbox style="mso-next-textbox:#_x0000_s1027">
              <w:txbxContent>
                <w:p w:rsidR="00D512FD" w:rsidRDefault="00D512FD" w:rsidP="00D512FD">
                  <w:r w:rsidRPr="00211B8F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25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26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27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28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29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0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1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2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3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4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5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6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7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8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39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0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1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3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4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5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6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7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8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9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</w:t>
                  </w:r>
                </w:p>
              </w:txbxContent>
            </v:textbox>
          </v:shape>
        </w:pict>
      </w:r>
    </w:p>
    <w:p w:rsidR="00C407C7" w:rsidRDefault="00BF307E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0" type="#_x0000_t62" style="position:absolute;margin-left:460.5pt;margin-top:14.3pt;width:78.6pt;height:39.75pt;z-index:251663360" adj="-1663,25838" strokecolor="#92d050" strokeweight="1.5pt">
            <v:textbox>
              <w:txbxContent>
                <w:p w:rsidR="00261203" w:rsidRPr="001F423D" w:rsidRDefault="00210866" w:rsidP="00210866">
                  <w:pPr>
                    <w:jc w:val="center"/>
                    <w:rPr>
                      <w:b/>
                      <w:color w:val="5F497A" w:themeColor="accent4" w:themeShade="BF"/>
                      <w:sz w:val="20"/>
                      <w:szCs w:val="20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20"/>
                      <w:szCs w:val="20"/>
                    </w:rPr>
                    <w:t>Teléfono de Guardia</w:t>
                  </w:r>
                </w:p>
              </w:txbxContent>
            </v:textbox>
          </v:shape>
        </w:pict>
      </w:r>
    </w:p>
    <w:p w:rsidR="00594694" w:rsidRDefault="00BF307E">
      <w:r>
        <w:rPr>
          <w:noProof/>
        </w:rPr>
        <w:pict>
          <v:shape id="_x0000_s1037" type="#_x0000_t202" style="position:absolute;margin-left:38.25pt;margin-top:6.85pt;width:438.75pt;height:654pt;z-index:251661312" strokecolor="white [3212]">
            <v:textbox>
              <w:txbxContent>
                <w:p w:rsidR="00594694" w:rsidRDefault="00261203">
                  <w:bookmarkStart w:id="0" w:name="_GoBack"/>
                  <w:r>
                    <w:rPr>
                      <w:noProof/>
                      <w:lang w:val="es-AR" w:eastAsia="es-AR"/>
                    </w:rPr>
                    <w:drawing>
                      <wp:inline distT="0" distB="0" distL="0" distR="0" wp14:anchorId="1229D8D0" wp14:editId="6A6F5550">
                        <wp:extent cx="5380984" cy="7620000"/>
                        <wp:effectExtent l="19050" t="0" r="0" b="0"/>
                        <wp:docPr id="178" name="Imagen 1" descr="C:\Documents and Settings\Usuario\Mis documentos\Descargas\factura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uario\Mis documentos\Descargas\factura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0984" cy="7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594694" w:rsidRDefault="00BF307E">
      <w:r>
        <w:rPr>
          <w:noProof/>
          <w:color w:val="FFC000"/>
        </w:rPr>
        <w:pict>
          <v:shape id="_x0000_s1041" type="#_x0000_t62" style="position:absolute;margin-left:477.15pt;margin-top:21.9pt;width:61.95pt;height:42pt;z-index:251664384" adj="-7392,27000" strokecolor="#92d050" strokeweight="1.5pt">
            <v:textbox>
              <w:txbxContent>
                <w:p w:rsidR="00210866" w:rsidRPr="001F423D" w:rsidRDefault="00210866" w:rsidP="00210866">
                  <w:pPr>
                    <w:jc w:val="center"/>
                    <w:rPr>
                      <w:b/>
                      <w:color w:val="5F497A" w:themeColor="accent4" w:themeShade="BF"/>
                      <w:sz w:val="20"/>
                      <w:szCs w:val="20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20"/>
                      <w:szCs w:val="20"/>
                    </w:rPr>
                    <w:t>Importe a pagar</w:t>
                  </w:r>
                </w:p>
              </w:txbxContent>
            </v:textbox>
          </v:shape>
        </w:pict>
      </w:r>
      <w:r>
        <w:rPr>
          <w:noProof/>
          <w:color w:val="FFC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420.75pt;margin-top:12.15pt;width:33pt;height:.75pt;flip:y;z-index:251662336" o:connectortype="straight" strokecolor="red" strokeweight="2pt"/>
        </w:pict>
      </w:r>
    </w:p>
    <w:p w:rsidR="00594694" w:rsidRDefault="00BF307E">
      <w:r>
        <w:rPr>
          <w:noProof/>
        </w:rPr>
        <w:pict>
          <v:shape id="_x0000_s1053" type="#_x0000_t202" style="position:absolute;margin-left:53.85pt;margin-top:12.25pt;width:112.65pt;height:19.5pt;z-index:251675648" strokecolor="red" strokeweight="1.5pt">
            <v:textbox>
              <w:txbxContent>
                <w:p w:rsidR="009E2E4C" w:rsidRPr="001F43C5" w:rsidRDefault="009E2E4C" w:rsidP="009E2E4C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1F43C5">
                    <w:rPr>
                      <w:b/>
                      <w:color w:val="FF0000"/>
                      <w:sz w:val="16"/>
                      <w:szCs w:val="16"/>
                    </w:rPr>
                    <w:t>Titular de la Cuenta</w:t>
                  </w:r>
                </w:p>
              </w:txbxContent>
            </v:textbox>
          </v:shape>
        </w:pict>
      </w:r>
    </w:p>
    <w:p w:rsidR="00594694" w:rsidRDefault="00BF307E">
      <w:r>
        <w:rPr>
          <w:noProof/>
          <w:color w:val="FFC000"/>
        </w:rPr>
        <w:pict>
          <v:shape id="_x0000_s1043" type="#_x0000_t62" style="position:absolute;margin-left:482.25pt;margin-top:22.05pt;width:68.25pt;height:50.25pt;z-index:251666432" adj="-7422,4513" strokecolor="#92d050" strokeweight="1.75pt">
            <v:textbox>
              <w:txbxContent>
                <w:p w:rsidR="00210866" w:rsidRPr="001F423D" w:rsidRDefault="00210866" w:rsidP="00210866">
                  <w:pPr>
                    <w:jc w:val="center"/>
                    <w:rPr>
                      <w:color w:val="5F497A" w:themeColor="accent4" w:themeShade="BF"/>
                      <w:sz w:val="18"/>
                      <w:szCs w:val="18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18"/>
                      <w:szCs w:val="18"/>
                    </w:rPr>
                    <w:t>Fecha de primer vencimiento</w:t>
                  </w:r>
                </w:p>
              </w:txbxContent>
            </v:textbox>
          </v:shape>
        </w:pict>
      </w:r>
      <w:r>
        <w:rPr>
          <w:noProof/>
          <w:color w:val="FFC000"/>
        </w:rPr>
        <w:pict>
          <v:shape id="_x0000_s1054" type="#_x0000_t202" style="position:absolute;margin-left:53.85pt;margin-top:6.3pt;width:112.65pt;height:21.15pt;z-index:251676672" strokecolor="red" strokeweight="1.5pt">
            <v:textbox>
              <w:txbxContent>
                <w:p w:rsidR="009E2E4C" w:rsidRPr="001F43C5" w:rsidRDefault="009E2E4C" w:rsidP="009E2E4C">
                  <w:pPr>
                    <w:jc w:val="center"/>
                    <w:rPr>
                      <w:b/>
                      <w:color w:val="FF0000"/>
                      <w:sz w:val="16"/>
                    </w:rPr>
                  </w:pPr>
                  <w:r w:rsidRPr="001F43C5">
                    <w:rPr>
                      <w:b/>
                      <w:color w:val="FF0000"/>
                      <w:sz w:val="16"/>
                    </w:rPr>
                    <w:t>Dirección Postal</w:t>
                  </w:r>
                </w:p>
              </w:txbxContent>
            </v:textbox>
          </v:shape>
        </w:pict>
      </w:r>
      <w:r>
        <w:rPr>
          <w:noProof/>
          <w:color w:val="FFC000"/>
        </w:rPr>
        <w:pict>
          <v:shape id="_x0000_s1051" type="#_x0000_t32" style="position:absolute;margin-left:53.85pt;margin-top:17.6pt;width:81.75pt;height:0;z-index:251674624" o:connectortype="straight" strokecolor="#ffc000" strokeweight="2pt"/>
        </w:pict>
      </w:r>
    </w:p>
    <w:p w:rsidR="00594694" w:rsidRDefault="00BF307E">
      <w:r>
        <w:rPr>
          <w:noProof/>
          <w:color w:val="FFC000"/>
        </w:rPr>
        <w:pict>
          <v:shape id="_x0000_s1045" type="#_x0000_t32" style="position:absolute;margin-left:431.25pt;margin-top:19.85pt;width:22.5pt;height:0;z-index:251668480" o:connectortype="straight" strokecolor="red" strokeweight="2pt"/>
        </w:pict>
      </w:r>
      <w:r>
        <w:rPr>
          <w:noProof/>
          <w:color w:val="FFC000"/>
        </w:rPr>
        <w:pict>
          <v:shape id="_x0000_s1042" type="#_x0000_t32" style="position:absolute;margin-left:431.25pt;margin-top:2pt;width:22.5pt;height:0;z-index:251665408" o:connectortype="straight" strokecolor="red" strokeweight="2pt"/>
        </w:pict>
      </w:r>
    </w:p>
    <w:p w:rsidR="00594694" w:rsidRDefault="00BF307E">
      <w:r>
        <w:rPr>
          <w:noProof/>
        </w:rPr>
        <w:pict>
          <v:shape id="_x0000_s1055" type="#_x0000_t202" style="position:absolute;margin-left:53.85pt;margin-top:-.35pt;width:216.9pt;height:21.75pt;z-index:251677696" strokecolor="red" strokeweight="1.5pt">
            <v:textbox>
              <w:txbxContent>
                <w:p w:rsidR="009E2E4C" w:rsidRPr="001F423D" w:rsidRDefault="009E2E4C" w:rsidP="009E2E4C">
                  <w:pPr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1F423D">
                    <w:rPr>
                      <w:b/>
                      <w:color w:val="FF0000"/>
                      <w:sz w:val="18"/>
                      <w:szCs w:val="18"/>
                    </w:rPr>
                    <w:t>Dirección del suministro del Servicio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32" style="position:absolute;margin-left:408.75pt;margin-top:16.15pt;width:30pt;height:.05pt;z-index:251670528" o:connectortype="straight" strokecolor="red" strokeweight="2pt"/>
        </w:pict>
      </w:r>
      <w:r>
        <w:rPr>
          <w:noProof/>
        </w:rPr>
        <w:pict>
          <v:shape id="_x0000_s1046" type="#_x0000_t32" style="position:absolute;margin-left:426pt;margin-top:3.4pt;width:27.75pt;height:.75pt;flip:y;z-index:251669504" o:connectortype="straight" strokecolor="red" strokeweight="2pt"/>
        </w:pict>
      </w:r>
    </w:p>
    <w:p w:rsidR="00594694" w:rsidRDefault="00BF307E">
      <w:r>
        <w:rPr>
          <w:noProof/>
          <w:color w:val="FFC000"/>
        </w:rPr>
        <w:pict>
          <v:shape id="_x0000_s1044" type="#_x0000_t62" style="position:absolute;margin-left:477.15pt;margin-top:4.8pt;width:65.85pt;height:65.25pt;z-index:251667456" adj="-6544,-10080" strokecolor="#92d050" strokeweight="1.5pt">
            <v:textbox>
              <w:txbxContent>
                <w:p w:rsidR="002C6D10" w:rsidRPr="001F423D" w:rsidRDefault="002C6D10" w:rsidP="002C6D10">
                  <w:pPr>
                    <w:jc w:val="center"/>
                    <w:rPr>
                      <w:b/>
                      <w:color w:val="5F497A" w:themeColor="accent4" w:themeShade="BF"/>
                      <w:sz w:val="16"/>
                      <w:szCs w:val="16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16"/>
                      <w:szCs w:val="16"/>
                    </w:rPr>
                    <w:t>Importe y fecha del segundo vencimiento</w:t>
                  </w:r>
                </w:p>
              </w:txbxContent>
            </v:textbox>
          </v:shape>
        </w:pict>
      </w:r>
      <w:r>
        <w:rPr>
          <w:noProof/>
          <w:color w:val="FFC000"/>
        </w:rPr>
        <w:pict>
          <v:shape id="_x0000_s1056" type="#_x0000_t62" style="position:absolute;margin-left:-18.75pt;margin-top:15.3pt;width:57pt;height:41.25pt;z-index:251678720" adj="67832,-1414" strokecolor="#92d050" strokeweight="1.5pt">
            <v:textbox>
              <w:txbxContent>
                <w:p w:rsidR="009E2E4C" w:rsidRPr="001F423D" w:rsidRDefault="009E2E4C" w:rsidP="009E2E4C">
                  <w:pPr>
                    <w:jc w:val="center"/>
                    <w:rPr>
                      <w:b/>
                      <w:color w:val="5F497A" w:themeColor="accent4" w:themeShade="BF"/>
                      <w:sz w:val="18"/>
                      <w:szCs w:val="18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18"/>
                      <w:szCs w:val="18"/>
                    </w:rPr>
                    <w:t>Lectura Anterior</w:t>
                  </w:r>
                </w:p>
              </w:txbxContent>
            </v:textbox>
          </v:shape>
        </w:pict>
      </w:r>
    </w:p>
    <w:p w:rsidR="00594694" w:rsidRDefault="00BF307E">
      <w:r>
        <w:rPr>
          <w:noProof/>
        </w:rPr>
        <w:pict>
          <v:shape id="_x0000_s1049" type="#_x0000_t32" style="position:absolute;margin-left:301.55pt;margin-top:8.75pt;width:48.7pt;height:60.75pt;flip:x;z-index:251672576" o:connectortype="straight" strokecolor="red" strokeweight="2pt"/>
        </w:pict>
      </w:r>
    </w:p>
    <w:p w:rsidR="00594694" w:rsidRDefault="00BF307E">
      <w:r>
        <w:rPr>
          <w:noProof/>
          <w:color w:val="FFC000"/>
        </w:rPr>
        <w:pict>
          <v:shape id="_x0000_s1059" type="#_x0000_t62" style="position:absolute;margin-left:-18.75pt;margin-top:13.35pt;width:57pt;height:61.5pt;z-index:251680768" adj="103320,-17579" strokecolor="#92d050" strokeweight="1.25pt">
            <v:textbox>
              <w:txbxContent>
                <w:p w:rsidR="003C6B78" w:rsidRPr="001F423D" w:rsidRDefault="003C6B78" w:rsidP="003C6B78">
                  <w:pPr>
                    <w:jc w:val="center"/>
                    <w:rPr>
                      <w:b/>
                      <w:color w:val="5F497A" w:themeColor="accent4" w:themeShade="BF"/>
                      <w:sz w:val="18"/>
                      <w:szCs w:val="18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18"/>
                      <w:szCs w:val="18"/>
                    </w:rPr>
                    <w:t>Lectura Actual, última medición</w:t>
                  </w:r>
                </w:p>
              </w:txbxContent>
            </v:textbox>
          </v:shape>
        </w:pict>
      </w:r>
    </w:p>
    <w:p w:rsidR="00594694" w:rsidRDefault="00BF307E">
      <w:r>
        <w:rPr>
          <w:noProof/>
        </w:rPr>
        <w:pict>
          <v:shape id="_x0000_s1048" type="#_x0000_t62" style="position:absolute;margin-left:468pt;margin-top:18.65pt;width:63pt;height:60.75pt;z-index:251671552" adj="-9257,-36764" strokecolor="#92d050" strokeweight="1.5pt">
            <v:textbox>
              <w:txbxContent>
                <w:p w:rsidR="002C6D10" w:rsidRPr="001F423D" w:rsidRDefault="002C6D10" w:rsidP="002C6D10">
                  <w:pPr>
                    <w:jc w:val="center"/>
                    <w:rPr>
                      <w:b/>
                      <w:color w:val="5F497A" w:themeColor="accent4" w:themeShade="BF"/>
                      <w:sz w:val="16"/>
                      <w:szCs w:val="16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16"/>
                      <w:szCs w:val="16"/>
                    </w:rPr>
                    <w:t>Mes en el que se produjo el consumo</w:t>
                  </w:r>
                </w:p>
              </w:txbxContent>
            </v:textbox>
          </v:shape>
        </w:pict>
      </w:r>
    </w:p>
    <w:p w:rsidR="00594694" w:rsidRDefault="00BF307E">
      <w:r>
        <w:rPr>
          <w:noProof/>
          <w:color w:val="FFC000"/>
        </w:rPr>
        <w:pict>
          <v:shape id="_x0000_s1058" type="#_x0000_t62" style="position:absolute;margin-left:188.85pt;margin-top:4.45pt;width:63.9pt;height:39.75pt;z-index:251679744" adj="-1758,-10488" strokecolor="#92d050" strokeweight="1.5pt">
            <v:textbox>
              <w:txbxContent>
                <w:p w:rsidR="003C6B78" w:rsidRPr="001F423D" w:rsidRDefault="003C6B78" w:rsidP="003C6B78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18"/>
                      <w:szCs w:val="18"/>
                    </w:rPr>
                    <w:t>Consumos Anteriore</w:t>
                  </w:r>
                  <w:r w:rsidRPr="001F423D">
                    <w:rPr>
                      <w:b/>
                      <w:color w:val="5F497A" w:themeColor="accent4" w:themeShade="BF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62" style="position:absolute;margin-left:324.6pt;margin-top:4.45pt;width:114pt;height:49.5pt;z-index:251673600" adj="1629,-21905" strokecolor="#92d050" strokeweight="1.5pt">
            <v:textbox>
              <w:txbxContent>
                <w:p w:rsidR="002C6D10" w:rsidRPr="001F423D" w:rsidRDefault="002C6D10" w:rsidP="002C6D10">
                  <w:pPr>
                    <w:jc w:val="center"/>
                    <w:rPr>
                      <w:b/>
                      <w:color w:val="5F497A" w:themeColor="accent4" w:themeShade="BF"/>
                      <w:sz w:val="18"/>
                      <w:szCs w:val="18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18"/>
                      <w:szCs w:val="18"/>
                    </w:rPr>
                    <w:t>Conceptos que componen el importe de la factura</w:t>
                  </w:r>
                </w:p>
              </w:txbxContent>
            </v:textbox>
          </v:shape>
        </w:pict>
      </w:r>
    </w:p>
    <w:p w:rsidR="00594694" w:rsidRDefault="00594694"/>
    <w:p w:rsidR="00594694" w:rsidRDefault="00BF307E">
      <w:r>
        <w:rPr>
          <w:noProof/>
          <w:lang w:val="es-AR" w:eastAsia="es-AR"/>
        </w:rPr>
        <w:pict>
          <v:shape id="_x0000_s1071" type="#_x0000_t62" style="position:absolute;margin-left:180pt;margin-top:20.3pt;width:90.75pt;height:87.75pt;z-index:251691008" adj="-9723,-3803" strokecolor="red" strokeweight="1.75pt">
            <v:textbox style="mso-next-textbox:#_x0000_s1071">
              <w:txbxContent>
                <w:p w:rsidR="00BF307E" w:rsidRPr="00BF307E" w:rsidRDefault="00BF307E" w:rsidP="00BF307E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BF307E">
                    <w:rPr>
                      <w:b/>
                      <w:color w:val="FF0000"/>
                      <w:sz w:val="24"/>
                      <w:szCs w:val="24"/>
                    </w:rPr>
                    <w:t>AVISO DE PERIODOS ADEUDADOS</w:t>
                  </w:r>
                </w:p>
              </w:txbxContent>
            </v:textbox>
          </v:shape>
        </w:pict>
      </w:r>
    </w:p>
    <w:p w:rsidR="00594694" w:rsidRDefault="00594694"/>
    <w:p w:rsidR="00594694" w:rsidRDefault="00594694"/>
    <w:p w:rsidR="00594694" w:rsidRDefault="00594694"/>
    <w:p w:rsidR="00C407C7" w:rsidRDefault="00C407C7"/>
    <w:p w:rsidR="00C407C7" w:rsidRDefault="00C407C7"/>
    <w:p w:rsidR="00261203" w:rsidRDefault="00BF307E">
      <w:r>
        <w:rPr>
          <w:noProof/>
          <w:lang w:eastAsia="en-US"/>
        </w:rPr>
        <w:pict>
          <v:shape id="_x0000_s1069" type="#_x0000_t202" style="position:absolute;margin-left:335.1pt;margin-top:16.15pt;width:85.65pt;height:21pt;z-index:251689984;mso-width-relative:margin;mso-height-relative:margin" fillcolor="#f2f2f2 [3052]" stroked="f">
            <v:textbox>
              <w:txbxContent>
                <w:p w:rsidR="00E0795F" w:rsidRDefault="00E0795F">
                  <w:pPr>
                    <w:rPr>
                      <w:color w:val="FFFFFF" w:themeColor="background1"/>
                    </w:rPr>
                  </w:pPr>
                  <w:r w:rsidRPr="00E0795F">
                    <w:rPr>
                      <w:color w:val="FFFFFF" w:themeColor="background1"/>
                    </w:rPr>
                    <w:t>S</w:t>
                  </w:r>
                </w:p>
                <w:p w:rsidR="00E0795F" w:rsidRPr="00E0795F" w:rsidRDefault="00E0795F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261203" w:rsidRDefault="00261203"/>
    <w:p w:rsidR="00261203" w:rsidRDefault="00BF307E">
      <w:r>
        <w:rPr>
          <w:noProof/>
        </w:rPr>
        <w:pict>
          <v:shape id="_x0000_s1067" type="#_x0000_t202" style="position:absolute;margin-left:309.75pt;margin-top:15.55pt;width:105.75pt;height:21pt;z-index:251687936" strokecolor="red" strokeweight="1.5pt">
            <v:textbox>
              <w:txbxContent>
                <w:p w:rsidR="00303565" w:rsidRPr="001F43C5" w:rsidRDefault="00303565" w:rsidP="00303565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1F43C5">
                    <w:rPr>
                      <w:color w:val="FF0000"/>
                      <w:sz w:val="18"/>
                      <w:szCs w:val="18"/>
                    </w:rPr>
                    <w:t>Titular de la cuenta</w:t>
                  </w:r>
                </w:p>
              </w:txbxContent>
            </v:textbox>
          </v:shape>
        </w:pict>
      </w:r>
    </w:p>
    <w:p w:rsidR="00261203" w:rsidRDefault="00BF307E">
      <w:r>
        <w:rPr>
          <w:noProof/>
        </w:rPr>
        <w:pict>
          <v:shape id="_x0000_s1064" type="#_x0000_t202" style="position:absolute;margin-left:53.85pt;margin-top:5.1pt;width:105.9pt;height:18pt;z-index:251685888" strokecolor="red" strokeweight="1.5pt">
            <v:textbox>
              <w:txbxContent>
                <w:p w:rsidR="00F02D68" w:rsidRPr="001F43C5" w:rsidRDefault="00F02D68" w:rsidP="00F02D68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1F43C5">
                    <w:rPr>
                      <w:b/>
                      <w:color w:val="FF0000"/>
                      <w:sz w:val="16"/>
                      <w:szCs w:val="16"/>
                    </w:rPr>
                    <w:t>Titular de la cuenta</w:t>
                  </w:r>
                </w:p>
              </w:txbxContent>
            </v:textbox>
          </v:shape>
        </w:pict>
      </w:r>
    </w:p>
    <w:p w:rsidR="00261203" w:rsidRDefault="00BF307E">
      <w:r>
        <w:rPr>
          <w:noProof/>
        </w:rPr>
        <w:pict>
          <v:shape id="_x0000_s1062" type="#_x0000_t32" style="position:absolute;margin-left:408.75pt;margin-top:23.9pt;width:0;height:8.25pt;flip:y;z-index:251683840" o:connectortype="straight"/>
        </w:pict>
      </w:r>
    </w:p>
    <w:p w:rsidR="00261203" w:rsidRDefault="00BF307E">
      <w:r>
        <w:rPr>
          <w:noProof/>
        </w:rPr>
        <w:pict>
          <v:shape id="_x0000_s1063" type="#_x0000_t32" style="position:absolute;margin-left:402.75pt;margin-top:6.7pt;width:35.85pt;height:.05pt;z-index:251684864" o:connectortype="straight" strokecolor="red" strokeweight="2pt"/>
        </w:pict>
      </w:r>
    </w:p>
    <w:p w:rsidR="00261203" w:rsidRDefault="00BF307E">
      <w:r>
        <w:rPr>
          <w:noProof/>
        </w:rPr>
        <w:pict>
          <v:shape id="_x0000_s1060" type="#_x0000_t62" style="position:absolute;margin-left:-22.5pt;margin-top:13.5pt;width:76.35pt;height:48pt;z-index:251681792" adj="22307,-60683" strokecolor="#92d050" strokeweight="1.75pt">
            <v:textbox>
              <w:txbxContent>
                <w:p w:rsidR="003C6B78" w:rsidRPr="001F423D" w:rsidRDefault="003C6B78" w:rsidP="00045E0E">
                  <w:pPr>
                    <w:jc w:val="center"/>
                    <w:rPr>
                      <w:b/>
                      <w:color w:val="5F497A" w:themeColor="accent4" w:themeShade="BF"/>
                      <w:sz w:val="18"/>
                      <w:szCs w:val="18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18"/>
                      <w:szCs w:val="18"/>
                    </w:rPr>
                    <w:t>Información de interés para el usuario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62" style="position:absolute;margin-left:356.25pt;margin-top:20.25pt;width:120.9pt;height:61.5pt;z-index:251682816" adj="12390,-13329" strokecolor="#92d050" strokeweight="1.5pt">
            <v:textbox>
              <w:txbxContent>
                <w:p w:rsidR="0065134A" w:rsidRPr="001F423D" w:rsidRDefault="0065134A" w:rsidP="0065134A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 w:rsidRPr="001F423D">
                    <w:rPr>
                      <w:b/>
                      <w:color w:val="5F497A" w:themeColor="accent4" w:themeShade="BF"/>
                      <w:sz w:val="18"/>
                      <w:szCs w:val="18"/>
                    </w:rPr>
                    <w:t>Vencimiento límite a tener en cuenta para pagos fuera de la</w:t>
                  </w:r>
                  <w:r w:rsidRPr="001F423D"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F423D">
                    <w:rPr>
                      <w:b/>
                      <w:color w:val="5F497A" w:themeColor="accent4" w:themeShade="BF"/>
                      <w:sz w:val="18"/>
                      <w:szCs w:val="18"/>
                    </w:rPr>
                    <w:t>Administración.</w:t>
                  </w:r>
                </w:p>
              </w:txbxContent>
            </v:textbox>
          </v:shape>
        </w:pict>
      </w:r>
    </w:p>
    <w:p w:rsidR="00261203" w:rsidRDefault="00BF307E">
      <w:r>
        <w:rPr>
          <w:noProof/>
        </w:rPr>
        <w:pict>
          <v:shape id="_x0000_s1065" type="#_x0000_t62" style="position:absolute;margin-left:144.75pt;margin-top:12.8pt;width:69.75pt;height:43.5pt;z-index:251686912" adj="6457,-18621" strokecolor="#92d050" strokeweight="1.5pt">
            <v:textbox style="mso-next-textbox:#_x0000_s1065">
              <w:txbxContent>
                <w:p w:rsidR="00486930" w:rsidRPr="001F423D" w:rsidRDefault="00486930" w:rsidP="002979C5">
                  <w:pPr>
                    <w:jc w:val="center"/>
                    <w:rPr>
                      <w:color w:val="5F497A" w:themeColor="accent4" w:themeShade="BF"/>
                      <w:sz w:val="20"/>
                      <w:szCs w:val="20"/>
                    </w:rPr>
                  </w:pPr>
                  <w:r w:rsidRPr="001F423D">
                    <w:rPr>
                      <w:color w:val="5F497A" w:themeColor="accent4" w:themeShade="BF"/>
                      <w:sz w:val="20"/>
                      <w:szCs w:val="20"/>
                    </w:rPr>
                    <w:t>Código de Barra</w:t>
                  </w:r>
                </w:p>
              </w:txbxContent>
            </v:textbox>
          </v:shape>
        </w:pict>
      </w:r>
    </w:p>
    <w:p w:rsidR="00261203" w:rsidRDefault="00261203"/>
    <w:p w:rsidR="00D512FD" w:rsidRDefault="00BF307E">
      <w:r>
        <w:rPr>
          <w:noProof/>
        </w:rPr>
        <w:pict>
          <v:shape id="_x0000_s1026" type="#_x0000_t202" style="position:absolute;margin-left:-41.25pt;margin-top:10.9pt;width:859.5pt;height:31.5pt;z-index:251658240" strokecolor="white [3212]">
            <v:textbox style="mso-next-textbox:#_x0000_s1026">
              <w:txbxContent>
                <w:p w:rsidR="00D512FD" w:rsidRDefault="00D512FD" w:rsidP="00D512FD">
                  <w:r w:rsidRPr="00211B8F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42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18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19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0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1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2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3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4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5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6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7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8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29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0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1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2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3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4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5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6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7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8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39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17F8">
                    <w:rPr>
                      <w:noProof/>
                      <w:lang w:val="es-AR" w:eastAsia="es-AR"/>
                    </w:rPr>
                    <w:drawing>
                      <wp:inline distT="0" distB="0" distL="0" distR="0">
                        <wp:extent cx="419100" cy="285750"/>
                        <wp:effectExtent l="19050" t="0" r="0" b="0"/>
                        <wp:docPr id="140" name="yui_3_5_1_2_1455643448526_1358" descr="http://revista.coomeva.com.co/wp-content/uploads/2012/05/cooperativis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ui_3_5_1_2_1455643448526_1358" descr="http://revista.coomeva.com.co/wp-content/uploads/2012/05/cooperativis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945" cy="285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</w:t>
                  </w:r>
                </w:p>
              </w:txbxContent>
            </v:textbox>
          </v:shape>
        </w:pict>
      </w:r>
    </w:p>
    <w:sectPr w:rsidR="00D512FD" w:rsidSect="002C11ED">
      <w:pgSz w:w="11906" w:h="16838"/>
      <w:pgMar w:top="720" w:right="282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512FD"/>
    <w:rsid w:val="00020068"/>
    <w:rsid w:val="0002550A"/>
    <w:rsid w:val="00045E0E"/>
    <w:rsid w:val="000B7F2C"/>
    <w:rsid w:val="001F423D"/>
    <w:rsid w:val="001F43C5"/>
    <w:rsid w:val="00210866"/>
    <w:rsid w:val="00261203"/>
    <w:rsid w:val="0028468B"/>
    <w:rsid w:val="002979C5"/>
    <w:rsid w:val="002C11ED"/>
    <w:rsid w:val="002C6D10"/>
    <w:rsid w:val="00303565"/>
    <w:rsid w:val="00322026"/>
    <w:rsid w:val="003C6B78"/>
    <w:rsid w:val="003E7769"/>
    <w:rsid w:val="00467CB2"/>
    <w:rsid w:val="00486930"/>
    <w:rsid w:val="00594694"/>
    <w:rsid w:val="005C0963"/>
    <w:rsid w:val="005F6CF5"/>
    <w:rsid w:val="0065134A"/>
    <w:rsid w:val="0085444D"/>
    <w:rsid w:val="00886727"/>
    <w:rsid w:val="009E2E4C"/>
    <w:rsid w:val="00A3332D"/>
    <w:rsid w:val="00A9592E"/>
    <w:rsid w:val="00B21041"/>
    <w:rsid w:val="00BE4DB3"/>
    <w:rsid w:val="00BF307E"/>
    <w:rsid w:val="00C407C7"/>
    <w:rsid w:val="00C42EFB"/>
    <w:rsid w:val="00D512FD"/>
    <w:rsid w:val="00D77167"/>
    <w:rsid w:val="00DB4C1B"/>
    <w:rsid w:val="00DF465B"/>
    <w:rsid w:val="00E0795F"/>
    <w:rsid w:val="00F02D68"/>
    <w:rsid w:val="00F10934"/>
    <w:rsid w:val="00FC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  <o:rules v:ext="edit">
        <o:r id="V:Rule1" type="callout" idref="#_x0000_s1040"/>
        <o:r id="V:Rule2" type="callout" idref="#_x0000_s1041"/>
        <o:r id="V:Rule3" type="callout" idref="#_x0000_s1043"/>
        <o:r id="V:Rule4" type="callout" idref="#_x0000_s1044"/>
        <o:r id="V:Rule5" type="callout" idref="#_x0000_s1056"/>
        <o:r id="V:Rule6" type="callout" idref="#_x0000_s1059"/>
        <o:r id="V:Rule7" type="callout" idref="#_x0000_s1048"/>
        <o:r id="V:Rule8" type="callout" idref="#_x0000_s1058"/>
        <o:r id="V:Rule9" type="callout" idref="#_x0000_s1050"/>
        <o:r id="V:Rule10" type="callout" idref="#_x0000_s1060"/>
        <o:r id="V:Rule11" type="callout" idref="#_x0000_s1061"/>
        <o:r id="V:Rule12" type="callout" idref="#_x0000_s1065"/>
        <o:r id="V:Rule13" type="connector" idref="#_x0000_s1042"/>
        <o:r id="V:Rule14" type="connector" idref="#_x0000_s1051"/>
        <o:r id="V:Rule15" type="connector" idref="#_x0000_s1062"/>
        <o:r id="V:Rule16" type="connector" idref="#_x0000_s1045"/>
        <o:r id="V:Rule17" type="connector" idref="#_x0000_s1063"/>
        <o:r id="V:Rule18" type="connector" idref="#_x0000_s1039"/>
        <o:r id="V:Rule19" type="connector" idref="#_x0000_s1049"/>
        <o:r id="V:Rule20" type="connector" idref="#_x0000_s1046"/>
        <o:r id="V:Rule21" type="connector" idref="#_x0000_s1047"/>
        <o:r id="V:Rule22" type="callout" idref="#_x0000_s107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de Windows</cp:lastModifiedBy>
  <cp:revision>19</cp:revision>
  <dcterms:created xsi:type="dcterms:W3CDTF">2016-02-17T15:46:00Z</dcterms:created>
  <dcterms:modified xsi:type="dcterms:W3CDTF">2023-12-20T11:01:00Z</dcterms:modified>
</cp:coreProperties>
</file>